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461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461F6" w:rsidRDefault="00B461F6">
            <w:pPr>
              <w:pStyle w:val="ConsPlusTitlePage0"/>
            </w:pPr>
          </w:p>
        </w:tc>
      </w:tr>
      <w:tr w:rsidR="00B461F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61F6" w:rsidRDefault="00D340C1">
            <w:pPr>
              <w:pStyle w:val="ConsPlusTitlePage0"/>
              <w:jc w:val="center"/>
            </w:pPr>
            <w:r>
              <w:rPr>
                <w:sz w:val="48"/>
              </w:rPr>
              <w:t>Приказ Ростехнадзора от 20.10.2020 N 420</w:t>
            </w:r>
            <w:r>
              <w:rPr>
                <w:sz w:val="48"/>
              </w:rPr>
              <w:br/>
              <w:t>(ред. от 20.02.2024)</w:t>
            </w:r>
            <w:r>
              <w:rPr>
                <w:sz w:val="48"/>
              </w:rPr>
              <w:br/>
              <w:t>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  <w:r>
              <w:rPr>
                <w:sz w:val="48"/>
              </w:rPr>
              <w:br/>
              <w:t>(Зарегистрировано в Минюсте России 11.12.2020 N 61391)</w:t>
            </w:r>
          </w:p>
        </w:tc>
      </w:tr>
      <w:tr w:rsidR="00B461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461F6" w:rsidRDefault="00D340C1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t> </w:t>
            </w:r>
          </w:p>
        </w:tc>
      </w:tr>
    </w:tbl>
    <w:p w:rsidR="00B461F6" w:rsidRDefault="00B461F6">
      <w:pPr>
        <w:pStyle w:val="ConsPlusNormal0"/>
        <w:sectPr w:rsidR="00B461F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461F6" w:rsidRDefault="00B461F6">
      <w:pPr>
        <w:pStyle w:val="ConsPlusNormal0"/>
        <w:jc w:val="both"/>
        <w:outlineLvl w:val="0"/>
      </w:pPr>
    </w:p>
    <w:p w:rsidR="00B461F6" w:rsidRDefault="00D340C1">
      <w:pPr>
        <w:pStyle w:val="ConsPlusNormal0"/>
        <w:outlineLvl w:val="0"/>
      </w:pPr>
      <w:r>
        <w:t>Зарегистрировано в Минюсте России 11 декабря 2020 г. N 61391</w:t>
      </w:r>
    </w:p>
    <w:p w:rsidR="00B461F6" w:rsidRDefault="00B461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B461F6" w:rsidRDefault="00D340C1">
      <w:pPr>
        <w:pStyle w:val="ConsPlusTitle0"/>
        <w:jc w:val="center"/>
      </w:pPr>
      <w:r>
        <w:t>И АТОМНОМУ НАДЗОРУ</w:t>
      </w:r>
    </w:p>
    <w:p w:rsidR="00B461F6" w:rsidRDefault="00B461F6">
      <w:pPr>
        <w:pStyle w:val="ConsPlusTitle0"/>
        <w:jc w:val="center"/>
      </w:pPr>
    </w:p>
    <w:p w:rsidR="00B461F6" w:rsidRDefault="00D340C1">
      <w:pPr>
        <w:pStyle w:val="ConsPlusTitle0"/>
        <w:jc w:val="center"/>
      </w:pPr>
      <w:r>
        <w:t>ПРИКАЗ</w:t>
      </w:r>
    </w:p>
    <w:p w:rsidR="00B461F6" w:rsidRDefault="00D340C1">
      <w:pPr>
        <w:pStyle w:val="ConsPlusTitle0"/>
        <w:jc w:val="center"/>
      </w:pPr>
      <w:r>
        <w:t>от 20 октября 2020 г. N 420</w:t>
      </w:r>
    </w:p>
    <w:p w:rsidR="00B461F6" w:rsidRDefault="00B461F6">
      <w:pPr>
        <w:pStyle w:val="ConsPlusTitle0"/>
        <w:jc w:val="center"/>
      </w:pPr>
    </w:p>
    <w:p w:rsidR="00B461F6" w:rsidRDefault="00D340C1">
      <w:pPr>
        <w:pStyle w:val="ConsPlusTitle0"/>
        <w:jc w:val="center"/>
      </w:pPr>
      <w:r>
        <w:t>ОБ УТВЕРЖДЕНИИ ФЕДЕРАЛЬНЫХ НОРМ И ПРАВИЛ</w:t>
      </w:r>
    </w:p>
    <w:p w:rsidR="00B461F6" w:rsidRDefault="00D340C1">
      <w:pPr>
        <w:pStyle w:val="ConsPlusTitle0"/>
        <w:jc w:val="center"/>
      </w:pPr>
      <w:r>
        <w:t>В ОБЛАСТИ ПРОМЫШЛЕН</w:t>
      </w:r>
      <w:r>
        <w:t>НОЙ БЕЗОПАСНОСТИ "ПРАВИЛА ПРОВЕДЕНИЯ</w:t>
      </w:r>
    </w:p>
    <w:p w:rsidR="00B461F6" w:rsidRDefault="00D340C1">
      <w:pPr>
        <w:pStyle w:val="ConsPlusTitle0"/>
        <w:jc w:val="center"/>
      </w:pPr>
      <w:r>
        <w:t>ЭКСПЕРТИЗЫ ПРОМЫШЛЕННОЙ БЕЗОПАСНОСТИ"</w:t>
      </w:r>
    </w:p>
    <w:p w:rsidR="00B461F6" w:rsidRDefault="00B461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6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1F6" w:rsidRDefault="00D340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1F6" w:rsidRDefault="00D340C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Ростехнадзора от 13.04.2022 </w:t>
            </w:r>
            <w:hyperlink r:id="rId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61F6" w:rsidRDefault="00D340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</w:tr>
    </w:tbl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</w:t>
      </w:r>
      <w:r>
        <w:t xml:space="preserve"> 4860), </w:t>
      </w:r>
      <w:hyperlink r:id="rId10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------------ Недействующая редакция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</w:t>
      </w:r>
      <w:r>
        <w:t xml:space="preserve">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</w:t>
      </w:r>
      <w:proofErr w:type="gramStart"/>
      <w:r>
        <w:t>2020, N 27, ст. 4248), приказыва</w:t>
      </w:r>
      <w:r>
        <w:t>ю:</w:t>
      </w:r>
      <w:proofErr w:type="gramEnd"/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1. Утвердить прилагаемые федеральные </w:t>
      </w:r>
      <w:hyperlink w:anchor="P34" w:tooltip="ФЕДЕРАЛЬНЫЕ НОРМЫ И ПРАВИЛА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проведения экспертизы промышленной безопасности".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2. Настоящий приказ вступает в силу с 1 января</w:t>
      </w:r>
      <w:r>
        <w:t xml:space="preserve"> 2021 г. и действует до 1 января 2027 г.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jc w:val="right"/>
      </w:pPr>
      <w:r>
        <w:t>Руководитель</w:t>
      </w:r>
    </w:p>
    <w:p w:rsidR="00B461F6" w:rsidRDefault="00D340C1">
      <w:pPr>
        <w:pStyle w:val="ConsPlusNormal0"/>
        <w:jc w:val="right"/>
      </w:pPr>
      <w:r>
        <w:t>А.В.АЛЕШИН</w:t>
      </w: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jc w:val="right"/>
        <w:outlineLvl w:val="0"/>
      </w:pPr>
      <w:r>
        <w:t>Утверждены</w:t>
      </w:r>
    </w:p>
    <w:p w:rsidR="00B461F6" w:rsidRDefault="00D340C1">
      <w:pPr>
        <w:pStyle w:val="ConsPlusNormal0"/>
        <w:jc w:val="right"/>
      </w:pPr>
      <w:r>
        <w:t>приказом Федеральной службы</w:t>
      </w:r>
    </w:p>
    <w:p w:rsidR="00B461F6" w:rsidRDefault="00D340C1">
      <w:pPr>
        <w:pStyle w:val="ConsPlusNormal0"/>
        <w:jc w:val="right"/>
      </w:pPr>
      <w:r>
        <w:t>по экологическому, технологическому</w:t>
      </w:r>
    </w:p>
    <w:p w:rsidR="00B461F6" w:rsidRDefault="00D340C1">
      <w:pPr>
        <w:pStyle w:val="ConsPlusNormal0"/>
        <w:jc w:val="right"/>
      </w:pPr>
      <w:r>
        <w:t>и атомному надзору</w:t>
      </w:r>
    </w:p>
    <w:p w:rsidR="00B461F6" w:rsidRDefault="00D340C1">
      <w:pPr>
        <w:pStyle w:val="ConsPlusNormal0"/>
        <w:jc w:val="right"/>
      </w:pPr>
      <w:r>
        <w:t>от 20 октября 2020 г. N 420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</w:pPr>
      <w:bookmarkStart w:id="1" w:name="P34"/>
      <w:bookmarkEnd w:id="1"/>
      <w:r>
        <w:t>ФЕДЕРАЛЬНЫЕ НОРМЫ И ПРАВИЛА</w:t>
      </w:r>
    </w:p>
    <w:p w:rsidR="00B461F6" w:rsidRDefault="00D340C1">
      <w:pPr>
        <w:pStyle w:val="ConsPlusTitle0"/>
        <w:jc w:val="center"/>
      </w:pPr>
      <w:r>
        <w:t>В ОБЛАСТИ ПРОМЫШЛЕННОЙ БЕЗОПАСНОСТИ "ПРАВИЛА ПРОВЕДЕНИЯ</w:t>
      </w:r>
    </w:p>
    <w:p w:rsidR="00B461F6" w:rsidRDefault="00D340C1">
      <w:pPr>
        <w:pStyle w:val="ConsPlusTitle0"/>
        <w:jc w:val="center"/>
      </w:pPr>
      <w:r>
        <w:lastRenderedPageBreak/>
        <w:t>ЭКСПЕРТИЗЫ ПРОМЫШЛЕННОЙ БЕЗОПАСНОСТИ"</w:t>
      </w:r>
    </w:p>
    <w:p w:rsidR="00B461F6" w:rsidRDefault="00B461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6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1F6" w:rsidRDefault="00D340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61F6" w:rsidRDefault="00D340C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Ростехнадзора от 13.04.2022 </w:t>
            </w:r>
            <w:hyperlink r:id="rId11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61F6" w:rsidRDefault="00D340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12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</w:tr>
    </w:tbl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  <w:outlineLvl w:val="1"/>
      </w:pPr>
      <w:r>
        <w:t>I. Общие положения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1. Федеральные нормы и правила в области промышленной безопасности "Правила проведения экспертизы промышленной безопасности"</w:t>
      </w:r>
      <w:r>
        <w:t xml:space="preserve"> (далее - Правила) устанавливают процедуру проведения экспертизы промышленной безопасности (далее - экспертиза), требования к оформлению заключения экспертизы и требования к экспертам в области промышленной безопасности (далее - эксперты).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2. Правила приме</w:t>
      </w:r>
      <w:r>
        <w:t xml:space="preserve">няются при проведении экспертизы объектов, предусмотренных </w:t>
      </w:r>
      <w:hyperlink r:id="rId1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пунктом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объе</w:t>
      </w:r>
      <w:r>
        <w:t>кты экспертизы).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Правила не применяются при проведении страховщиком экспертизы опасного объекта, предусмотренной </w:t>
      </w:r>
      <w:hyperlink r:id="rId14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подпунктом 1</w:t>
        </w:r>
        <w:r>
          <w:rPr>
            <w:color w:val="0000FF"/>
          </w:rPr>
          <w:t xml:space="preserve"> пункта 1 статьи 12</w:t>
        </w:r>
      </w:hyperlink>
      <w:r>
        <w:t xml:space="preserve"> Федерального закона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</w:t>
      </w:r>
      <w:r>
        <w:t>ции, 2010, N 31, ст. 4194;</w:t>
      </w:r>
      <w:proofErr w:type="gramEnd"/>
      <w:r>
        <w:t xml:space="preserve"> </w:t>
      </w:r>
      <w:proofErr w:type="gramStart"/>
      <w:r>
        <w:t>2018, N 52, ст. 8102).</w:t>
      </w:r>
      <w:proofErr w:type="gramEnd"/>
    </w:p>
    <w:p w:rsidR="00B461F6" w:rsidRDefault="00D340C1">
      <w:pPr>
        <w:pStyle w:val="ConsPlusNormal0"/>
        <w:spacing w:before="240"/>
        <w:ind w:firstLine="540"/>
        <w:jc w:val="both"/>
      </w:pPr>
      <w:r>
        <w:t>4. Техническое устройство, применяемое на опасном производственном объекте, подлежит экспертизе (если техническим регламентом не установлена иная форма оценки соответствия указанного устройства обязательным</w:t>
      </w:r>
      <w:r>
        <w:t xml:space="preserve"> требованиям):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до начала применения на опасном производственном объекте;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по истечении срока службы или при превышении количества циклов нагрузки такого технического устройства, установленных его производителем;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при отсутствии в технической документации дан</w:t>
      </w:r>
      <w:r>
        <w:t>ных о сроке службы такого технического устройства, если фактический срок его службы превышает десять лет;</w:t>
      </w:r>
    </w:p>
    <w:p w:rsidR="00B461F6" w:rsidRDefault="00D340C1">
      <w:pPr>
        <w:pStyle w:val="ConsPlusNormal0"/>
        <w:jc w:val="both"/>
      </w:pPr>
      <w:r>
        <w:t xml:space="preserve">(в ред. </w:t>
      </w:r>
      <w:hyperlink r:id="rId15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</w:t>
      </w:r>
      <w:r>
        <w:t>хнадзора от 20.02.2024 N 60)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</w:t>
      </w:r>
      <w:r>
        <w:t>езультате которых было повреждено такое техническое устройство. &lt;1&gt;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7</w:t>
        </w:r>
      </w:hyperlink>
      <w:r>
        <w:t xml:space="preserve"> Федерального закона от 21 июля 1997 г. N 116-ФЗ "О промышленной безопасности опасн</w:t>
      </w:r>
      <w:r>
        <w:t>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lastRenderedPageBreak/>
        <w:t xml:space="preserve">5.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</w:t>
      </w:r>
      <w:r>
        <w:t>подлежат экспертизе: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 случае истечения срока эксплуатации здания или сооружения, установленного проектной документацией;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 случае отсутствия проектной документации, либо отсутствия в проектной документации данных о сроке эксплуатации здания или сооружения</w:t>
      </w:r>
      <w:r>
        <w:t>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после аварии на опасном производственном объекте, в результате которой были повреждены несущие конструкции данных зданий и сооружений;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по истечении сроков безопасной эксплуатации, установленных заключениями экспертизы.</w:t>
      </w:r>
    </w:p>
    <w:p w:rsidR="00B461F6" w:rsidRDefault="00B461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61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1F6" w:rsidRDefault="00D340C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461F6" w:rsidRDefault="00D340C1">
            <w:pPr>
              <w:pStyle w:val="ConsPlusNormal0"/>
              <w:jc w:val="both"/>
            </w:pPr>
            <w:r>
              <w:rPr>
                <w:color w:val="392C69"/>
              </w:rPr>
              <w:t xml:space="preserve">Об </w:t>
            </w:r>
            <w:r>
              <w:rPr>
                <w:color w:val="392C69"/>
              </w:rPr>
              <w:t xml:space="preserve">особенностях экспертизы в отношении объектов организаций промышленности боеприпасов и спецхимии, включенных в реестр организаций оборонно-промышленного комплекса, в период СВО см. </w:t>
            </w:r>
            <w:hyperlink r:id="rId17" w:tooltip="Постановление Правительства РФ от 12.03.2022 N 353 (ред. от 05.02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1F6" w:rsidRDefault="00B461F6">
            <w:pPr>
              <w:pStyle w:val="ConsPlusNormal0"/>
            </w:pPr>
          </w:p>
        </w:tc>
      </w:tr>
    </w:tbl>
    <w:p w:rsidR="00B461F6" w:rsidRDefault="00D340C1">
      <w:pPr>
        <w:pStyle w:val="ConsPlusNormal0"/>
        <w:spacing w:before="300"/>
        <w:ind w:firstLine="540"/>
        <w:jc w:val="both"/>
      </w:pPr>
      <w:r>
        <w:t>6. Экспертиза технических устройств, зданий и сооружений на опасных производственных объектах, используемых в интересах обороны и безопасности государства, производится с учетом требований законодательства Российской Федерации об обороне и о защите госуда</w:t>
      </w:r>
      <w:r>
        <w:t>рственной тайны.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  <w:outlineLvl w:val="1"/>
      </w:pPr>
      <w:r>
        <w:t>II. Требования к экспертам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 xml:space="preserve">7. </w:t>
      </w:r>
      <w:proofErr w:type="gramStart"/>
      <w:r>
        <w:t>Эксперт в области промышленной безопасности (далее - эксперт) - физическое лицо, которое соответствует квалификационным требованиям профессионального стандарта либо аттестовано в установленном Правительством</w:t>
      </w:r>
      <w:r>
        <w:t xml:space="preserve"> Российской Федерации порядке &lt;2&gt;,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безопасности &lt;3&gt;.</w:t>
      </w:r>
      <w:proofErr w:type="gramEnd"/>
    </w:p>
    <w:p w:rsidR="00B461F6" w:rsidRDefault="00D340C1">
      <w:pPr>
        <w:pStyle w:val="ConsPlusNormal0"/>
        <w:jc w:val="both"/>
      </w:pPr>
      <w:r>
        <w:t xml:space="preserve">(п. 7 в ред. </w:t>
      </w:r>
      <w:hyperlink r:id="rId1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</w:t>
        </w:r>
      </w:hyperlink>
      <w:r>
        <w:t xml:space="preserve"> об аттестации экспертов в области промышленной безопасности, утвержденное постановлением Правительства Российской Федерации от 2 июня 2022 г. </w:t>
      </w:r>
      <w:r>
        <w:t>N 1009 (далее - Положение).</w:t>
      </w:r>
    </w:p>
    <w:p w:rsidR="00B461F6" w:rsidRDefault="00D340C1">
      <w:pPr>
        <w:pStyle w:val="ConsPlusNormal0"/>
        <w:jc w:val="both"/>
      </w:pPr>
      <w:r>
        <w:t xml:space="preserve">(сноска в ред. </w:t>
      </w:r>
      <w:hyperlink r:id="rId2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 одиннадцатый статьи 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D340C1">
      <w:pPr>
        <w:pStyle w:val="ConsPlusNormal0"/>
        <w:jc w:val="both"/>
      </w:pPr>
      <w:r>
        <w:t xml:space="preserve">(сноска в ред. </w:t>
      </w:r>
      <w:hyperlink r:id="rId22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8. Эксперт первой категории &lt;4&gt; должен соответствовать следующим требованиям: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3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B461F6" w:rsidRDefault="00D340C1">
      <w:pPr>
        <w:pStyle w:val="ConsPlusNormal0"/>
        <w:jc w:val="both"/>
      </w:pPr>
      <w:r>
        <w:t xml:space="preserve">(сноска в ред. </w:t>
      </w:r>
      <w:hyperlink r:id="rId24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</w:t>
      </w:r>
      <w:r>
        <w:t xml:space="preserve"> 20.02.2024 N 60)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1) иметь высшее образование;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2) иметь стаж работы не менее 10 лет по специальности, соответствующей его области (областям) аттестации;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3) знать нормативные правовые акты Российской Федерации в области промышленной безопасности, средства </w:t>
      </w:r>
      <w:r>
        <w:t>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</w:t>
      </w:r>
      <w:r>
        <w:t>ых последствий, необходимых для осуществления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4) иметь опыт проведения не менее 15 экспертиз.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9. Эксперт второй категории &lt;5&gt; должен соответствовать следующим требованиям: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5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B461F6" w:rsidRDefault="00D340C1">
      <w:pPr>
        <w:pStyle w:val="ConsPlusNormal0"/>
        <w:jc w:val="both"/>
      </w:pPr>
      <w:r>
        <w:t xml:space="preserve">(сноска в ред. </w:t>
      </w:r>
      <w:hyperlink r:id="rId26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1) иметь высшее образование;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2) иметь стаж работы не менее 7 лет по специальности, соответствующей его области (областям) аттестации;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</w:t>
      </w:r>
      <w:r>
        <w:t>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4) иметь опыт проведения не менее 10 экспертиз.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10. Эксперт третьей категории &lt;6&gt; должен соответ</w:t>
      </w:r>
      <w:r>
        <w:t>ствовать следующим требованиям: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7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B461F6" w:rsidRDefault="00D340C1">
      <w:pPr>
        <w:pStyle w:val="ConsPlusNormal0"/>
        <w:jc w:val="both"/>
      </w:pPr>
      <w:r>
        <w:t xml:space="preserve">(сноска в ред. </w:t>
      </w:r>
      <w:hyperlink r:id="rId2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1) иметь высшее образование;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2) иметь стаж работы не менее 5 лет по специальности, соо</w:t>
      </w:r>
      <w:r>
        <w:t>тветствующей его области (областям) аттестации;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>3) знать нормативные правовые акты Российской Федерации в области промышленной безопасности, средства измерений и оборудование, а также методов технического диагностирования, неразрушающего и разрушающего кон</w:t>
      </w:r>
      <w:r>
        <w:t>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11. Эксперту запрещается участвовать в проведен</w:t>
      </w:r>
      <w:r>
        <w:t>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 &lt;7&gt;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10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 xml:space="preserve">Эксперт, которому известны обстоятельства, препятствующие его привлечению к проведению экспертизы либо </w:t>
      </w:r>
      <w:r>
        <w:t xml:space="preserve">не позволяющие ему соблюдать принципы ее проведения, установленные </w:t>
      </w:r>
      <w:hyperlink w:anchor="P114" w:tooltip="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">
        <w:r>
          <w:rPr>
            <w:color w:val="0000FF"/>
          </w:rPr>
          <w:t>пунктом 13</w:t>
        </w:r>
      </w:hyperlink>
      <w:r>
        <w:t xml:space="preserve"> настоящих Правил, не должен участвовать в проведении экспертизы.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12. Эксперты обязаны: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определять соответствие объектов экспертизы промышленн</w:t>
      </w:r>
      <w:r>
        <w:t>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</w:t>
      </w:r>
      <w:r>
        <w:t>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обеспечивать объективность и обоснованность выводо</w:t>
      </w:r>
      <w:r>
        <w:t>в заключения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обеспечивать сохранность документов и конфиденциальность сведений, представленных на экспертизу. &lt;8&gt;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3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9 статьи 13</w:t>
        </w:r>
      </w:hyperlink>
      <w:r>
        <w:t xml:space="preserve"> Федерального закона от </w:t>
      </w:r>
      <w:r>
        <w:t>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  <w:outlineLvl w:val="1"/>
      </w:pPr>
      <w:r>
        <w:t>III. Проведение экспертизы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bookmarkStart w:id="2" w:name="P114"/>
      <w:bookmarkEnd w:id="2"/>
      <w:r>
        <w:t xml:space="preserve">13. Экспертиза проводится с целью определения соответствия объекта экспертизы предъявляемым к нему требованиям промышленной безопасности </w:t>
      </w:r>
      <w:r>
        <w:t>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 &lt;9&gt;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 xml:space="preserve">&lt;9&gt;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3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14. Срок проведения экспертизы определяется сложностью объекта экспертизы, но не должен превышать трех месяцев со дня полу</w:t>
      </w:r>
      <w:r>
        <w:t>чения экспертной организацией от заказчика экспертизы (далее - заказчик) комплекта необходимых материалов и документов. Срок проведения экспертизы может быть продлен по соглашению сторон.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15. Экспертизу проводят организации, имеющие лицензию на деятельност</w:t>
      </w:r>
      <w:r>
        <w:t>ь по проведению экспертизы промышленной безопасности, за счет средств ее заказчика. &lt;10&gt;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 xml:space="preserve">16. </w:t>
      </w:r>
      <w:proofErr w:type="gramStart"/>
      <w:r>
        <w:t>Организации, имеющей лицензию на проведение экспертизы промышленной бе</w:t>
      </w:r>
      <w:r>
        <w:t>зопасности, 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соответствии с антимонопольным законодатель</w:t>
      </w:r>
      <w:r>
        <w:t>ством Российской Федерации, а также в отношении иных объектов экспертизы, связанных с такими опасными производственными объектами.</w:t>
      </w:r>
      <w:proofErr w:type="gramEnd"/>
      <w:r>
        <w:t xml:space="preserve"> Заключение экспертизы, составленное с нарушением данного требования, не может быть использовано для целей, установленных зако</w:t>
      </w:r>
      <w:r>
        <w:t>нодательством Российской Федерации. &lt;11&gt;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17. Руководителем организации, проводящей экспертизу, определяются участву</w:t>
      </w:r>
      <w:r>
        <w:t>ющие в проведении экспертизы эксперт или группа экспертов, область аттестации которых соответствует объекту экспертизы.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 случае участия в экспертизе группы экспертов, может быть определен руководитель группы экспертов, обеспечивающий обобщение результатов</w:t>
      </w:r>
      <w:r>
        <w:t>, своевременность проведения экспертизы и подготовку заключения экспертизы. Область аттестации руководителя группы экспертов должна соответствовать объекту экспертизы.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18. В проведении экспертизы в отношении опасных производственных объектов I класса опасн</w:t>
      </w:r>
      <w:r>
        <w:t xml:space="preserve">ости вправе участвовать эксперты первой категории, аттестованные в области аттестации, соответствующей объекту экспертизы, в порядке, установленном </w:t>
      </w:r>
      <w:hyperlink r:id="rId34" w:tooltip="Постановление Правительства РФ от 28.05.2015 N 509 (ред. от 10.07.2020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------------ Утратил силу или отменен {Кон">
        <w:r>
          <w:rPr>
            <w:color w:val="0000FF"/>
          </w:rPr>
          <w:t>Положением</w:t>
        </w:r>
      </w:hyperlink>
      <w:r>
        <w:t>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19. В проведении экспертизы в отношении опасных производственных объектов II класса опасности &lt;12&gt; вправе участвовать эксперты первой и (или) второй категории, аттестованные в области аттестации, соответствующей объекту эк</w:t>
      </w:r>
      <w:r>
        <w:t xml:space="preserve">спертизы, в порядке, установленном </w:t>
      </w:r>
      <w:hyperlink r:id="rId35" w:tooltip="Постановление Правительства РФ от 28.05.2015 N 509 (ред. от 10.07.2020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------------ Утратил силу или отменен {Кон">
        <w:r>
          <w:rPr>
            <w:color w:val="0000FF"/>
          </w:rPr>
          <w:t>Положением</w:t>
        </w:r>
      </w:hyperlink>
      <w:r>
        <w:t>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20. В проведении экспертизы в отношении опасных производственных объектов III и IV классов опасности &lt;13&gt; вправе уч</w:t>
      </w:r>
      <w:r>
        <w:t xml:space="preserve">аствовать эксперты первой, и (или) второй, и (или) третьей категории, аттестованные в области аттестации, соответствующей объекту экспертизы, в порядке, установленном </w:t>
      </w:r>
      <w:hyperlink r:id="rId37" w:tooltip="Постановление Правительства РФ от 28.05.2015 N 509 (ред. от 10.07.2020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------------ Утратил силу или отменен {Кон">
        <w:r>
          <w:rPr>
            <w:color w:val="0000FF"/>
          </w:rPr>
          <w:t>Положением</w:t>
        </w:r>
      </w:hyperlink>
      <w:r>
        <w:t>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</w:t>
      </w:r>
      <w:r>
        <w:t>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21. Экспертная организация приступает к проведению экспертизы после: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предоставления заказчиком необходимых для проведения экспертизы документов;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предоставления образцов технических устройств либо обеспечения доступа экспертов к техническим</w:t>
      </w:r>
      <w:r>
        <w:t xml:space="preserve"> устройствам, зданиям и сооружениям, применяемым на опасном производственном объекте.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22. Заказчик обязан предоставить безопасный доступ экспертам, участвующим в проведении экспертизы, к техническим устройствам, применяемым на опасном производственном объе</w:t>
      </w:r>
      <w:r>
        <w:t>кте, к зданиям и сооружениям опасных производственных объектов, в отношении которых проводится экспертиза.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Эксперты, участвующие в проведении экспертизы, обязаны соблюдать положения нормативных правовых актов, устанавливающих требования промышленной безопа</w:t>
      </w:r>
      <w:r>
        <w:t>сности, а также правила ведения работ на опасном производственном объекте, установленные заказчиком.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23. При проведении экспертизы устанавливается полнота и достоверность относящихся к объекту экспертизы документов, предоставленных заказчиком, оценивается </w:t>
      </w:r>
      <w:r>
        <w:t>фактическое состояние технических устройств, зданий и сооружений на опасных производственных объектах. При оценке фактического состояния технических устройств, зданий и сооружений на опасных производственных объектах допускается использование информации ав</w:t>
      </w:r>
      <w:r>
        <w:t>томатизированных систем мониторинга их технического состояния.</w:t>
      </w:r>
    </w:p>
    <w:p w:rsidR="00B461F6" w:rsidRDefault="00D340C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13.04.2022 N 120)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Для оценки фа</w:t>
      </w:r>
      <w:r>
        <w:t>ктического состояния зданий и сооружений проводится их обследование.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Техническое диагностирование технических устрой</w:t>
      </w:r>
      <w:proofErr w:type="gramStart"/>
      <w:r>
        <w:t>ств пр</w:t>
      </w:r>
      <w:proofErr w:type="gramEnd"/>
      <w:r>
        <w:t>оводится для оценки фактического состояния технических устройств в следующих случаях: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а) при проведении экспертизы по истечении срока службы или при превышении количества циклов нагрузки такого технического устройства, установленных его производителем, либо при отсутствии в технической документации данных о сроке службы такого технического </w:t>
      </w:r>
      <w:r>
        <w:t xml:space="preserve">устройства, </w:t>
      </w:r>
      <w:r>
        <w:lastRenderedPageBreak/>
        <w:t>если фактический срок его службы превышает десять лет;</w:t>
      </w:r>
    </w:p>
    <w:p w:rsidR="00B461F6" w:rsidRDefault="00D340C1">
      <w:pPr>
        <w:pStyle w:val="ConsPlusNormal0"/>
        <w:jc w:val="both"/>
      </w:pPr>
      <w:r>
        <w:t xml:space="preserve">(в ред. </w:t>
      </w:r>
      <w:hyperlink r:id="rId4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б) при про</w:t>
      </w:r>
      <w:r>
        <w:t>ведении экспертизы после проведения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в) при обнаружении экспертами дефектов, вызывающих сомнение в </w:t>
      </w:r>
      <w:r>
        <w:t>прочности конструкции, или дефектов неизвестного происхождения.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24. При проведении экспертизы технических устройств выполняются:</w:t>
      </w:r>
    </w:p>
    <w:p w:rsidR="00B461F6" w:rsidRDefault="00D340C1">
      <w:pPr>
        <w:pStyle w:val="ConsPlusNormal0"/>
        <w:spacing w:before="240"/>
        <w:ind w:firstLine="540"/>
        <w:jc w:val="both"/>
      </w:pPr>
      <w:proofErr w:type="gramStart"/>
      <w:r>
        <w:t>а) анализ документации, относящейся к техническим устройствам (включая акты расследования аварий и инцидентов, связанных с эксп</w:t>
      </w:r>
      <w:r>
        <w:t>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  <w:proofErr w:type="gramEnd"/>
    </w:p>
    <w:p w:rsidR="00B461F6" w:rsidRDefault="00D340C1">
      <w:pPr>
        <w:pStyle w:val="ConsPlusNormal0"/>
        <w:spacing w:before="240"/>
        <w:ind w:firstLine="540"/>
        <w:jc w:val="both"/>
      </w:pPr>
      <w:r>
        <w:t>б) расчетные и аналитические процедуры оценки и прогнозирования технического состояния технических устройств (в с</w:t>
      </w:r>
      <w:r>
        <w:t>лучаях, при которых проводится техническое диагностирование технических устройств).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25. Техническое диагностирование технических устрой</w:t>
      </w:r>
      <w:proofErr w:type="gramStart"/>
      <w:r>
        <w:t>ств вкл</w:t>
      </w:r>
      <w:proofErr w:type="gramEnd"/>
      <w:r>
        <w:t>ючает следующие мероприятия: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а) визуальный и измерительный контроль;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б) оперативное (функциональное) диагностирование для получения информации о состоянии, фактических параметрах работы, фактического </w:t>
      </w:r>
      <w:proofErr w:type="spellStart"/>
      <w:r>
        <w:t>нагружения</w:t>
      </w:r>
      <w:proofErr w:type="spellEnd"/>
      <w:r>
        <w:t xml:space="preserve"> технического устройства в реальных условиях эксплуатации;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в) определение действующих повреждающих факторов, механи</w:t>
      </w:r>
      <w:r>
        <w:t>змов повреждения и восприимчивости материала технического устройства к механизмам повреждения;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г) оценку качества соединений элементов технического устройства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д) выбор методов неразрушающего или разрушающего контроля, наиболее эффективно выя</w:t>
      </w:r>
      <w:r>
        <w:t>вляющих дефекты, образующиеся в результате воздействия установленных механизмов повреждения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е) неразрушающий контроль или разрушающий контроль металла и сварных соединений технического устройства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ж) оценку выявленных дефектов </w:t>
      </w:r>
      <w:r>
        <w:t>на основании результатов визуального и измерительного контроля, методов неразрушающего или разрушающего контроля;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з) исследование материалов технического устройства;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и) расчетные и аналитические процедуры оценки и прогнозирования технического состояния тех</w:t>
      </w:r>
      <w:r>
        <w:t>нического устройства, включающие анализ режимов работы и исследование напряженно-</w:t>
      </w:r>
      <w:r>
        <w:lastRenderedPageBreak/>
        <w:t>деформированного состояния;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к) оценку остаточного ресурса (срока службы).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26. При проведении экспертизы зданий и сооружений анализируются: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а) проектная и исполнительная докуме</w:t>
      </w:r>
      <w:r>
        <w:t>нтация на строительство, реконструкцию здания (сооружения), разрешение на ввод в эксплуатацию здания (сооружения);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б) документы, удостоверяющие качество строительных конструкций и материалов;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в) акты расследования аварий;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г) заключения экспертизы ранее про</w:t>
      </w:r>
      <w:r>
        <w:t>водимых экспертиз здания (сооружения);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д) эксплуатационная документация, документация о текущих и капитальных ремонтах, документация об изменениях конструкций зданий (сооружений).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27. Обследование зданий и сооружений включает следующие мероприятия: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а) опре</w:t>
      </w:r>
      <w:r>
        <w:t>деление соответствия строительных конструкций зданий и сооружений проектной документации и требованиям нормативных документов, выявление дефектов и повреждений элементов и узлов конструкций зданий и сооружений с составлением ведомостей дефектов и поврежден</w:t>
      </w:r>
      <w:r>
        <w:t>ий;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б) определение пространственного положения строительных конструкций зданий и сооружений, их фактических сечений и состояния соединений;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в) определение степени влияния гидрологических, аэрологических и атмосферных воздействий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г) определение фактической прочности материалов и строительных конструкций зданий и сооружений в сравнении с проектными параметрами;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д) оценку соответствия площади и весовых характеристик </w:t>
      </w:r>
      <w:proofErr w:type="spellStart"/>
      <w:r>
        <w:t>легкосбрасываемых</w:t>
      </w:r>
      <w:proofErr w:type="spellEnd"/>
      <w:r>
        <w:t xml:space="preserve"> конструкций зданий и сооружений требуемой величине</w:t>
      </w:r>
      <w:r>
        <w:t xml:space="preserve">, обеспечивающей </w:t>
      </w:r>
      <w:proofErr w:type="spellStart"/>
      <w:r>
        <w:t>взрывоустойчивость</w:t>
      </w:r>
      <w:proofErr w:type="spellEnd"/>
      <w:r>
        <w:t xml:space="preserve"> объекта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е) изучение химической агрессивности производственной среды в отношении материалов строительных конструкций зданий и сооружений;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ж) определение степени коррозии арматуры и металлических элементов с</w:t>
      </w:r>
      <w:r>
        <w:t>троительных конструкций (при наличии);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з) поверочный расчет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</w:t>
      </w:r>
      <w:r>
        <w:t>й;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и) оценку остаточной несущей способности и пригодности зданий и сооружений к </w:t>
      </w:r>
      <w:r>
        <w:lastRenderedPageBreak/>
        <w:t>дальнейшей эксплуатации.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28. При экспертизе документации на консервацию, ликвидацию опасного производственного объекта выполняется анализ мероприятий, направленных на обеспечен</w:t>
      </w:r>
      <w:r>
        <w:t>ие промышленной безопасности при остановке объекта, а также исключение аварий и инцидентов при осуществлении работ по консервации, ликвидации опасного производственного объекта.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29. При экспертизе документации на техническое перевооружение опасного произво</w:t>
      </w:r>
      <w:r>
        <w:t xml:space="preserve">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деятельности, выполняется анализ принятых технических решений и </w:t>
      </w:r>
      <w:r>
        <w:t>мероприятий на предмет их соответствия действующим требованиям промышленной безопасности.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30. Экспертная организация вправе привлекать к проведению технического диагностирования, неразрушающего контроля, разрушающего контроля технических устройств, а также</w:t>
      </w:r>
      <w:r>
        <w:t xml:space="preserve"> к проведению обследований зданий и сооружений иные организации или лиц, владеющих необходимым оборудованием для проведения указанных работ.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В случаях, когда заказчик имеет в своем штате специалистов по техническому диагностированию, обследованию зданий и </w:t>
      </w:r>
      <w:r>
        <w:t>сооружений, неразрушающему контролю, разрушающему контролю, допускается привлекать данных специалистов заказчика к выполнению этих работ и учитывать результаты работ, выполненных указанными специалистами при оформлении заключения экспертизы. При этом в зак</w:t>
      </w:r>
      <w:r>
        <w:t>лючени</w:t>
      </w:r>
      <w:proofErr w:type="gramStart"/>
      <w:r>
        <w:t>и</w:t>
      </w:r>
      <w:proofErr w:type="gramEnd"/>
      <w:r>
        <w:t xml:space="preserve"> экспертизы должны указываться виды работ, выполняемые специалистами заказчика.</w:t>
      </w:r>
    </w:p>
    <w:p w:rsidR="00B461F6" w:rsidRDefault="00D340C1">
      <w:pPr>
        <w:pStyle w:val="ConsPlusNormal0"/>
        <w:spacing w:before="240"/>
        <w:ind w:firstLine="540"/>
        <w:jc w:val="both"/>
      </w:pPr>
      <w:bookmarkStart w:id="3" w:name="P185"/>
      <w:bookmarkEnd w:id="3"/>
      <w:r>
        <w:t xml:space="preserve">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</w:t>
      </w:r>
      <w:r>
        <w:t>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Title0"/>
        <w:jc w:val="center"/>
        <w:outlineLvl w:val="1"/>
      </w:pPr>
      <w:r>
        <w:t>IV. Оформление заключения экспертизы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 xml:space="preserve">32. </w:t>
      </w:r>
      <w:proofErr w:type="gramStart"/>
      <w:r>
        <w:t>Результатом пров</w:t>
      </w:r>
      <w:r>
        <w:t>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электронного документа, подпис</w:t>
      </w:r>
      <w:r>
        <w:t>анного квалифицированными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</w:r>
      <w:proofErr w:type="gramEnd"/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4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D340C1">
      <w:pPr>
        <w:pStyle w:val="ConsPlusNormal0"/>
        <w:ind w:firstLine="540"/>
        <w:jc w:val="both"/>
      </w:pPr>
      <w:r>
        <w:t>33. Экспертная организация должна осуществлять учет выданных заключений экспертизы и хранить их копии.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>34.</w:t>
      </w:r>
      <w:r>
        <w:t xml:space="preserve"> Заключение экспертизы должно содержать: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1) титульный лист с указанием наименования заключения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2) вводную часть, включающую: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указание на конкретные структурные единицы нормативных правовых актов в области промышленной безопасности (пункт, подпу</w:t>
      </w:r>
      <w:r>
        <w:t>нкт, часть, статья) на соответствие которым проводится оценка соответствия объекта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сведения об экспертной организации (наименование организации, ее организационно-правовая форма, дата выдачи лицензии на деятельность по проведению экспертизы про</w:t>
      </w:r>
      <w:r>
        <w:t>мышленной безопасности, ее номер);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сведения об экспертах, принимавших участие в проведении экспертизы (фамилия, имя, отчество (при наличии), регистрационный номер квалификационного удостоверения эксперта);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3) наименование объекта экспертизы, на который распространяется действие заключения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4) данные о заказчике (наименование организации, ее организационно-правовая форма);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5) цель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proofErr w:type="gramStart"/>
      <w:r>
        <w:t xml:space="preserve"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сведения об информации автоматизированных систем мониторинга технического состояния </w:t>
      </w:r>
      <w:r>
        <w:t>технических устройств, зданий и сооружений на опасных производственных объектах экспертизы;</w:t>
      </w:r>
      <w:proofErr w:type="gramEnd"/>
    </w:p>
    <w:p w:rsidR="00B461F6" w:rsidRDefault="00D340C1">
      <w:pPr>
        <w:pStyle w:val="ConsPlusNormal0"/>
        <w:jc w:val="both"/>
      </w:pPr>
      <w:r>
        <w:t xml:space="preserve">(в ред. </w:t>
      </w:r>
      <w:hyperlink r:id="rId42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</w:t>
      </w:r>
      <w:r>
        <w:t>.04.2022 N 120)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7) краткую характеристику и назначение объекта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8) результаты проведенной экспертизы со ссылками на конкретные структурные единицы нормативных правовых актов в области промышленной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9) выводы заключения экспертизы;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</w:t>
      </w:r>
      <w:r>
        <w:t xml:space="preserve">0) приложения, предусмотренные </w:t>
      </w:r>
      <w:hyperlink w:anchor="P185" w:tooltip="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11) сведения о проведенных мероприятиях и о результатах технического диагностирования технических устройств, обследования зданий и сооружений (при их проведени</w:t>
      </w:r>
      <w:r>
        <w:t>и).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35. Заключение экспертизы должно содержать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безопасности):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1) объект экспертизы соответствует требованиям промышл</w:t>
      </w:r>
      <w:r>
        <w:t>енной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lastRenderedPageBreak/>
        <w:t>2) объект экспертизы не соответствует требованиям промышленной безопасности.</w:t>
      </w:r>
    </w:p>
    <w:p w:rsidR="00B461F6" w:rsidRDefault="00D340C1">
      <w:pPr>
        <w:pStyle w:val="ConsPlusNormal0"/>
        <w:jc w:val="both"/>
      </w:pPr>
      <w:r>
        <w:t xml:space="preserve">(п. 35 в ред. </w:t>
      </w:r>
      <w:hyperlink r:id="rId43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</w:t>
      </w:r>
      <w:r>
        <w:t>дзора от 13.04.2022 N 120)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36. По результатам экспертизы технического устройства, зданий и сооружений опасных производственных объектов в заключени</w:t>
      </w:r>
      <w:proofErr w:type="gramStart"/>
      <w:r>
        <w:t>и</w:t>
      </w:r>
      <w:proofErr w:type="gramEnd"/>
      <w:r>
        <w:t xml:space="preserve"> экспертизы должны дополнительно приводиться сведения о расчетных и аналитических процедурах оценки и прогно</w:t>
      </w:r>
      <w:r>
        <w:t>зирования технического состояния объекта экспертизы, включающие определение остаточного ресурса (срока службы) с отражением в выводах заключения экспертизы установленного срока дальнейшей безопасной эксплуатации объекта экспертизы, с указанием условий даль</w:t>
      </w:r>
      <w:r>
        <w:t>нейшей безопасной эксплуатации.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37. По результатам проведения экспертизы декларации промышленной безопасности в заключени</w:t>
      </w:r>
      <w:proofErr w:type="gramStart"/>
      <w:r>
        <w:t>и</w:t>
      </w:r>
      <w:proofErr w:type="gramEnd"/>
      <w:r>
        <w:t xml:space="preserve"> экспертизы должны содержаться следующие выводы: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об обоснованности применяемых физико-математических моделей и использованных методов </w:t>
      </w:r>
      <w:r>
        <w:t>расчета последствий аварии и показателей риска;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 правильности и достоверности выполненных расчетов по анализу риска, а также полноты учета факторов, влияющих на конечные результаты;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 вероятности реализации принятых сценариев аварий и возможности выхода п</w:t>
      </w:r>
      <w:r>
        <w:t>оражающих факторов этих аварий за границу опасного производственного объекта, а также последствиях воздействия поражающих факторов на население, другие объекты, окружающую среду;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о достаточности мер предотвращения проникновения на опасный производственный </w:t>
      </w:r>
      <w:r>
        <w:t>объект посторонних лиц.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38. При проведении экспертизы обоснования безопасности опасного производственного объекта или вносимых в него изменений в заключени</w:t>
      </w:r>
      <w:proofErr w:type="gramStart"/>
      <w:r>
        <w:t>и</w:t>
      </w:r>
      <w:proofErr w:type="gramEnd"/>
      <w:r>
        <w:t xml:space="preserve"> экспертизы должны содержаться следующие сведения: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оценка полноты и достоверности информации, предст</w:t>
      </w:r>
      <w:r>
        <w:t>авленной в обосновании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оценка полноты и достаточности мероприятий, компенсирующих отступления от норм и правил в области промышленной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оценка обоснованности результатов оценки риска аварий, в том числе адекватности применяемых фи</w:t>
      </w:r>
      <w:r>
        <w:t>зико-математических моделей и использованных методов расчетов по оценке риска, правильности и достоверности этих расчетов, а также полноты учета всех факторов, влияющих на конечные результаты;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оценка учета современного опыта эксплуатации, капитального ремо</w:t>
      </w:r>
      <w:r>
        <w:t>нта, консервации и ликвидации опасных производственных объектов в обосновании безопасности;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оценка полноты требований к эксплуатации, капитальному ремонту, консервации или ликвидации опасного производственного объекта, установленных в обосновании безопасно</w:t>
      </w:r>
      <w:r>
        <w:t>сти.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39. Утратил силу с 1 марта 2023 года. - </w:t>
      </w:r>
      <w:hyperlink r:id="rId44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</w:t>
        </w:r>
      </w:hyperlink>
      <w:r>
        <w:t xml:space="preserve"> Ростехнадзора от 13.04.2022 N 120.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40. Заключение экспертизы представляется заказчиком в федеральный орган исполнительной </w:t>
      </w:r>
      <w:r>
        <w:lastRenderedPageBreak/>
        <w:t>власти, осуществляющий контрольные и (или) надзорные функции в области промышленной безопасности на опасном производственном объекте, в отношении которого проведена эксп</w:t>
      </w:r>
      <w:r>
        <w:t>ертиза (его территориальный орган), для внесения в реестр заключений экспертизы промышленной безопасности. &lt;15&gt;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461F6" w:rsidRDefault="00D340C1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5 статьи 13</w:t>
        </w:r>
      </w:hyperlink>
      <w:r>
        <w:t xml:space="preserve"> Федерального закона от 21 июля 1997 </w:t>
      </w:r>
      <w:r>
        <w:t>г. N 116-ФЗ "О промышленной безопасности опасных производственных объектов".</w:t>
      </w: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jc w:val="both"/>
      </w:pPr>
    </w:p>
    <w:p w:rsidR="00B461F6" w:rsidRDefault="00B461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61F6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C1" w:rsidRDefault="00D340C1">
      <w:r>
        <w:separator/>
      </w:r>
    </w:p>
  </w:endnote>
  <w:endnote w:type="continuationSeparator" w:id="0">
    <w:p w:rsidR="00D340C1" w:rsidRDefault="00D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F6" w:rsidRDefault="00B461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61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1F6" w:rsidRDefault="00B461F6">
          <w:pPr>
            <w:pStyle w:val="ConsPlusNormal0"/>
          </w:pPr>
        </w:p>
      </w:tc>
      <w:tc>
        <w:tcPr>
          <w:tcW w:w="1700" w:type="pct"/>
          <w:vAlign w:val="center"/>
        </w:tcPr>
        <w:p w:rsidR="00B461F6" w:rsidRDefault="00B461F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61F6" w:rsidRDefault="00D340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1EC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1EC6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B461F6" w:rsidRDefault="00D340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F6" w:rsidRDefault="00B461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61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61F6" w:rsidRDefault="00B461F6">
          <w:pPr>
            <w:pStyle w:val="ConsPlusNormal0"/>
          </w:pPr>
        </w:p>
      </w:tc>
      <w:tc>
        <w:tcPr>
          <w:tcW w:w="1700" w:type="pct"/>
          <w:vAlign w:val="center"/>
        </w:tcPr>
        <w:p w:rsidR="00B461F6" w:rsidRDefault="00B461F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61F6" w:rsidRDefault="00D340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1EC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1EC6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B461F6" w:rsidRDefault="00D340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C1" w:rsidRDefault="00D340C1">
      <w:r>
        <w:separator/>
      </w:r>
    </w:p>
  </w:footnote>
  <w:footnote w:type="continuationSeparator" w:id="0">
    <w:p w:rsidR="00D340C1" w:rsidRDefault="00D3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461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1F6" w:rsidRDefault="00B461F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61F6" w:rsidRDefault="00B461F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61F6" w:rsidRDefault="00B461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1F6" w:rsidRDefault="00B461F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461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61F6" w:rsidRDefault="00B461F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61F6" w:rsidRDefault="00B461F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61F6" w:rsidRDefault="00B461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61F6" w:rsidRDefault="00B461F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F6"/>
    <w:rsid w:val="00971EC6"/>
    <w:rsid w:val="00B461F6"/>
    <w:rsid w:val="00D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71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EC6"/>
  </w:style>
  <w:style w:type="paragraph" w:styleId="a7">
    <w:name w:val="footer"/>
    <w:basedOn w:val="a"/>
    <w:link w:val="a8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71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EC6"/>
  </w:style>
  <w:style w:type="paragraph" w:styleId="a7">
    <w:name w:val="footer"/>
    <w:basedOn w:val="a"/>
    <w:link w:val="a8"/>
    <w:uiPriority w:val="99"/>
    <w:unhideWhenUsed/>
    <w:rsid w:val="00971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88&amp;date=25.02.2025&amp;dst=132&amp;field=134" TargetMode="External"/><Relationship Id="rId18" Type="http://schemas.openxmlformats.org/officeDocument/2006/relationships/hyperlink" Target="https://login.consultant.ru/link/?req=doc&amp;base=LAW&amp;n=473210&amp;date=25.02.2025&amp;dst=100012&amp;field=134" TargetMode="External"/><Relationship Id="rId26" Type="http://schemas.openxmlformats.org/officeDocument/2006/relationships/hyperlink" Target="https://login.consultant.ru/link/?req=doc&amp;base=LAW&amp;n=473210&amp;date=25.02.2025&amp;dst=100020&amp;field=134" TargetMode="External"/><Relationship Id="rId39" Type="http://schemas.openxmlformats.org/officeDocument/2006/relationships/hyperlink" Target="https://login.consultant.ru/link/?req=doc&amp;base=LAW&amp;n=418589&amp;date=25.02.2025&amp;dst=100011&amp;field=134" TargetMode="External"/><Relationship Id="rId21" Type="http://schemas.openxmlformats.org/officeDocument/2006/relationships/hyperlink" Target="https://login.consultant.ru/link/?req=doc&amp;base=LAW&amp;n=466788&amp;date=25.02.2025&amp;dst=100318&amp;field=134" TargetMode="External"/><Relationship Id="rId34" Type="http://schemas.openxmlformats.org/officeDocument/2006/relationships/hyperlink" Target="https://login.consultant.ru/link/?req=doc&amp;base=LAW&amp;n=357700&amp;date=25.02.2025&amp;dst=100019&amp;field=134" TargetMode="External"/><Relationship Id="rId42" Type="http://schemas.openxmlformats.org/officeDocument/2006/relationships/hyperlink" Target="https://login.consultant.ru/link/?req=doc&amp;base=LAW&amp;n=418589&amp;date=25.02.2025&amp;dst=100013&amp;field=134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8589&amp;date=25.02.2025&amp;dst=100006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788&amp;date=25.02.2025&amp;dst=228&amp;field=134" TargetMode="External"/><Relationship Id="rId29" Type="http://schemas.openxmlformats.org/officeDocument/2006/relationships/hyperlink" Target="https://login.consultant.ru/link/?req=doc&amp;base=LAW&amp;n=466788&amp;date=25.02.2025&amp;dst=282&amp;field=134" TargetMode="External"/><Relationship Id="rId11" Type="http://schemas.openxmlformats.org/officeDocument/2006/relationships/hyperlink" Target="https://login.consultant.ru/link/?req=doc&amp;base=LAW&amp;n=418589&amp;date=25.02.2025&amp;dst=100006&amp;field=134" TargetMode="External"/><Relationship Id="rId24" Type="http://schemas.openxmlformats.org/officeDocument/2006/relationships/hyperlink" Target="https://login.consultant.ru/link/?req=doc&amp;base=LAW&amp;n=473210&amp;date=25.02.2025&amp;dst=100018&amp;field=134" TargetMode="External"/><Relationship Id="rId32" Type="http://schemas.openxmlformats.org/officeDocument/2006/relationships/hyperlink" Target="https://login.consultant.ru/link/?req=doc&amp;base=LAW&amp;n=466788&amp;date=25.02.2025&amp;dst=265&amp;field=134" TargetMode="External"/><Relationship Id="rId37" Type="http://schemas.openxmlformats.org/officeDocument/2006/relationships/hyperlink" Target="https://login.consultant.ru/link/?req=doc&amp;base=LAW&amp;n=357700&amp;date=25.02.2025&amp;dst=100019&amp;field=134" TargetMode="External"/><Relationship Id="rId40" Type="http://schemas.openxmlformats.org/officeDocument/2006/relationships/hyperlink" Target="https://login.consultant.ru/link/?req=doc&amp;base=LAW&amp;n=473210&amp;date=25.02.2025&amp;dst=100024&amp;field=134" TargetMode="External"/><Relationship Id="rId45" Type="http://schemas.openxmlformats.org/officeDocument/2006/relationships/hyperlink" Target="https://login.consultant.ru/link/?req=doc&amp;base=LAW&amp;n=466788&amp;date=25.02.2025&amp;dst=26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3210&amp;date=25.02.2025&amp;dst=100011&amp;field=134" TargetMode="External"/><Relationship Id="rId23" Type="http://schemas.openxmlformats.org/officeDocument/2006/relationships/hyperlink" Target="https://login.consultant.ru/link/?req=doc&amp;base=LAW&amp;n=471409&amp;date=25.02.2025&amp;dst=100102&amp;field=134" TargetMode="External"/><Relationship Id="rId28" Type="http://schemas.openxmlformats.org/officeDocument/2006/relationships/hyperlink" Target="https://login.consultant.ru/link/?req=doc&amp;base=LAW&amp;n=473210&amp;date=25.02.2025&amp;dst=100022&amp;field=134" TargetMode="External"/><Relationship Id="rId36" Type="http://schemas.openxmlformats.org/officeDocument/2006/relationships/hyperlink" Target="https://login.consultant.ru/link/?req=doc&amp;base=LAW&amp;n=466788&amp;date=25.02.2025&amp;dst=99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0687&amp;date=25.02.2025&amp;dst=100240&amp;field=134" TargetMode="External"/><Relationship Id="rId19" Type="http://schemas.openxmlformats.org/officeDocument/2006/relationships/hyperlink" Target="https://login.consultant.ru/link/?req=doc&amp;base=LAW&amp;n=471409&amp;date=25.02.2025&amp;dst=100013&amp;field=134" TargetMode="External"/><Relationship Id="rId31" Type="http://schemas.openxmlformats.org/officeDocument/2006/relationships/hyperlink" Target="https://login.consultant.ru/link/?req=doc&amp;base=LAW&amp;n=466788&amp;date=25.02.2025&amp;dst=267&amp;field=134" TargetMode="External"/><Relationship Id="rId44" Type="http://schemas.openxmlformats.org/officeDocument/2006/relationships/hyperlink" Target="https://login.consultant.ru/link/?req=doc&amp;base=LAW&amp;n=418589&amp;date=25.02.2025&amp;dst=1000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8&amp;date=25.02.2025&amp;dst=1&amp;field=134" TargetMode="External"/><Relationship Id="rId14" Type="http://schemas.openxmlformats.org/officeDocument/2006/relationships/hyperlink" Target="https://login.consultant.ru/link/?req=doc&amp;base=LAW&amp;n=495924&amp;date=25.02.2025&amp;dst=100148&amp;field=134" TargetMode="External"/><Relationship Id="rId22" Type="http://schemas.openxmlformats.org/officeDocument/2006/relationships/hyperlink" Target="https://login.consultant.ru/link/?req=doc&amp;base=LAW&amp;n=473210&amp;date=25.02.2025&amp;dst=100016&amp;field=134" TargetMode="External"/><Relationship Id="rId27" Type="http://schemas.openxmlformats.org/officeDocument/2006/relationships/hyperlink" Target="https://login.consultant.ru/link/?req=doc&amp;base=LAW&amp;n=471409&amp;date=25.02.2025&amp;dst=100102&amp;field=134" TargetMode="External"/><Relationship Id="rId30" Type="http://schemas.openxmlformats.org/officeDocument/2006/relationships/hyperlink" Target="https://login.consultant.ru/link/?req=doc&amp;base=LAW&amp;n=466788&amp;date=25.02.2025&amp;dst=277&amp;field=134" TargetMode="External"/><Relationship Id="rId35" Type="http://schemas.openxmlformats.org/officeDocument/2006/relationships/hyperlink" Target="https://login.consultant.ru/link/?req=doc&amp;base=LAW&amp;n=357700&amp;date=25.02.2025&amp;dst=100019&amp;field=134" TargetMode="External"/><Relationship Id="rId43" Type="http://schemas.openxmlformats.org/officeDocument/2006/relationships/hyperlink" Target="https://login.consultant.ru/link/?req=doc&amp;base=LAW&amp;n=418589&amp;date=25.02.2025&amp;dst=100014&amp;field=134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73210&amp;date=25.02.2025&amp;dst=100006&amp;field=13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3210&amp;date=25.02.2025&amp;dst=100006&amp;field=134" TargetMode="External"/><Relationship Id="rId17" Type="http://schemas.openxmlformats.org/officeDocument/2006/relationships/hyperlink" Target="https://login.consultant.ru/link/?req=doc&amp;base=LAW&amp;n=498138&amp;date=25.02.2025&amp;dst=283&amp;field=134" TargetMode="External"/><Relationship Id="rId25" Type="http://schemas.openxmlformats.org/officeDocument/2006/relationships/hyperlink" Target="https://login.consultant.ru/link/?req=doc&amp;base=LAW&amp;n=471409&amp;date=25.02.2025&amp;dst=100102&amp;field=134" TargetMode="External"/><Relationship Id="rId33" Type="http://schemas.openxmlformats.org/officeDocument/2006/relationships/hyperlink" Target="https://login.consultant.ru/link/?req=doc&amp;base=LAW&amp;n=466788&amp;date=25.02.2025&amp;dst=265&amp;field=134" TargetMode="External"/><Relationship Id="rId38" Type="http://schemas.openxmlformats.org/officeDocument/2006/relationships/hyperlink" Target="https://login.consultant.ru/link/?req=doc&amp;base=LAW&amp;n=466788&amp;date=25.02.2025&amp;dst=99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73210&amp;date=25.02.2025&amp;dst=100014&amp;field=134" TargetMode="External"/><Relationship Id="rId41" Type="http://schemas.openxmlformats.org/officeDocument/2006/relationships/hyperlink" Target="https://login.consultant.ru/link/?req=doc&amp;base=LAW&amp;n=466788&amp;date=25.02.2025&amp;dst=26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20.10.2020 N 420
(ред. от 20.02.2024)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vt:lpstr>
    </vt:vector>
  </TitlesOfParts>
  <Company>КонсультантПлюс Версия 4024.00.50</Company>
  <LinksUpToDate>false</LinksUpToDate>
  <CharactersWithSpaces>41998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20.10.2020 N 420
(ред. от 20.02.2024)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dc:title>
  <dc:creator>Оксана Федотова</dc:creator>
  <cp:lastModifiedBy>Оксана Федотова</cp:lastModifiedBy>
  <cp:revision>2</cp:revision>
  <dcterms:created xsi:type="dcterms:W3CDTF">2025-02-24T22:02:00Z</dcterms:created>
  <dcterms:modified xsi:type="dcterms:W3CDTF">2025-02-24T22:02:00Z</dcterms:modified>
</cp:coreProperties>
</file>